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26753A" w:rsidRDefault="00233EE5" w:rsidP="0026753A">
      <w:pPr>
        <w:shd w:val="clear" w:color="auto" w:fill="D9D9D9" w:themeFill="background1" w:themeFillShade="D9"/>
        <w:spacing w:line="360" w:lineRule="auto"/>
        <w:jc w:val="lowKashida"/>
        <w:rPr>
          <w:rFonts w:ascii="Tahoma" w:hAnsi="Tahoma"/>
          <w:b/>
          <w:bCs/>
          <w:sz w:val="24"/>
        </w:rPr>
      </w:pPr>
      <w:r w:rsidRPr="0026753A">
        <w:rPr>
          <w:rFonts w:ascii="Tahoma" w:hAnsi="Tahoma"/>
          <w:b/>
          <w:bCs/>
          <w:sz w:val="24"/>
          <w:rtl/>
        </w:rPr>
        <w:t>بسم الله الرحمن الرحیم</w:t>
      </w:r>
    </w:p>
    <w:p w:rsidR="00233EE5" w:rsidRPr="0026753A" w:rsidRDefault="00233EE5" w:rsidP="0026753A">
      <w:pPr>
        <w:shd w:val="clear" w:color="auto" w:fill="D9D9D9" w:themeFill="background1" w:themeFillShade="D9"/>
        <w:spacing w:line="360" w:lineRule="auto"/>
        <w:jc w:val="lowKashida"/>
        <w:rPr>
          <w:rFonts w:ascii="Tahoma" w:hAnsi="Tahoma"/>
          <w:b/>
          <w:bCs/>
          <w:sz w:val="24"/>
        </w:rPr>
      </w:pPr>
      <w:r w:rsidRPr="0026753A">
        <w:rPr>
          <w:rFonts w:ascii="Tahoma" w:hAnsi="Tahoma"/>
          <w:b/>
          <w:bCs/>
          <w:sz w:val="24"/>
          <w:rtl/>
        </w:rPr>
        <w:t>حجیت عقل در فقه</w:t>
      </w:r>
    </w:p>
    <w:p w:rsidR="00233EE5" w:rsidRPr="0026753A" w:rsidRDefault="00233EE5" w:rsidP="0026753A">
      <w:pPr>
        <w:shd w:val="clear" w:color="auto" w:fill="D9D9D9" w:themeFill="background1" w:themeFillShade="D9"/>
        <w:spacing w:line="360" w:lineRule="auto"/>
        <w:jc w:val="lowKashida"/>
        <w:rPr>
          <w:rFonts w:ascii="Tahoma" w:hAnsi="Tahoma"/>
          <w:b/>
          <w:bCs/>
          <w:sz w:val="24"/>
          <w:rtl/>
        </w:rPr>
      </w:pPr>
      <w:r w:rsidRPr="0026753A">
        <w:rPr>
          <w:rFonts w:ascii="Tahoma" w:hAnsi="Tahoma"/>
          <w:b/>
          <w:bCs/>
          <w:sz w:val="24"/>
          <w:rtl/>
        </w:rPr>
        <w:tab/>
        <w:t>عقل دلیل</w:t>
      </w:r>
    </w:p>
    <w:p w:rsidR="00EA430F" w:rsidRPr="0026753A" w:rsidRDefault="00432700" w:rsidP="0026753A">
      <w:pPr>
        <w:shd w:val="clear" w:color="auto" w:fill="D9D9D9" w:themeFill="background1" w:themeFillShade="D9"/>
        <w:spacing w:line="360" w:lineRule="auto"/>
        <w:ind w:left="720" w:firstLine="720"/>
        <w:jc w:val="lowKashida"/>
        <w:rPr>
          <w:rFonts w:ascii="Tahoma" w:hAnsi="Tahoma"/>
          <w:b/>
          <w:bCs/>
          <w:sz w:val="24"/>
        </w:rPr>
      </w:pPr>
      <w:r w:rsidRPr="0026753A">
        <w:rPr>
          <w:rFonts w:ascii="Tahoma" w:hAnsi="Tahoma"/>
          <w:b/>
          <w:bCs/>
          <w:sz w:val="24"/>
          <w:rtl/>
        </w:rPr>
        <w:t>جمع‌بندی فرمایش محقق اصفهانی</w:t>
      </w:r>
    </w:p>
    <w:p w:rsidR="00D938A9" w:rsidRPr="0026753A" w:rsidRDefault="00233EE5" w:rsidP="0026753A">
      <w:pPr>
        <w:spacing w:line="360" w:lineRule="auto"/>
        <w:jc w:val="lowKashida"/>
        <w:rPr>
          <w:rFonts w:ascii="Tahoma" w:hAnsi="Tahoma"/>
          <w:sz w:val="24"/>
          <w:rtl/>
        </w:rPr>
      </w:pPr>
      <w:r w:rsidRPr="0026753A">
        <w:rPr>
          <w:rFonts w:ascii="Tahoma" w:hAnsi="Tahoma"/>
          <w:b/>
          <w:bCs/>
          <w:sz w:val="24"/>
          <w:rtl/>
        </w:rPr>
        <w:t>جلسه چهل و پنجم_ 4 بهمن 95</w:t>
      </w:r>
    </w:p>
    <w:p w:rsidR="00233EE5" w:rsidRPr="0026753A" w:rsidRDefault="000F0A4F" w:rsidP="0026753A">
      <w:pPr>
        <w:spacing w:line="360" w:lineRule="auto"/>
        <w:jc w:val="lowKashida"/>
        <w:rPr>
          <w:rFonts w:ascii="Tahoma" w:hAnsi="Tahoma"/>
          <w:sz w:val="24"/>
          <w:rtl/>
        </w:rPr>
      </w:pPr>
      <w:r w:rsidRPr="0026753A">
        <w:rPr>
          <w:rFonts w:ascii="Tahoma" w:hAnsi="Tahoma"/>
          <w:sz w:val="24"/>
          <w:rtl/>
        </w:rPr>
        <w:t>امروز ما یک جمع‌بندی خواهیم داشت در مورد فرمایش مرحوم اصفهانی.</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آنچه در ذیل می آید، مبنای محقق اصفهانی دردو مسئله حسن و قبح و قاعده ی ملازمه است که با دسته بندی و بیان سهل تری، شرح و توضیح داده می شود، بیان زیر متخذ از فرمایش ایشان در بحث انسداد و موارد متعدده دیگر است، لازم به ذکر است برخی مطالب بود که در متن درس از ایشان آوردیم  و در تقریر دروس پیشین آمده است، که در اینجا لزومی به تکرارش ندیدیم و بعضی از مطالب دیگر ایشان هم اساسا للاختصار در درس هم  آورده نشد. رحمةالله علیه رحمةواسعة و نورالله مضجعه.</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تبیین نظریه ی محقق اصفهانی در باره ی حسن و قبح عقلی و قاعده ی ملازمه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۱/ تعریف ایشان از عقل نظری و عقل عملی این است : « ان تفاوت العقل النظری مع اعقل العملی بتفاوت المدرکات، مت حیث ان المدرک مما ینبغی أن یعلم، أو مما ینبغی أن یؤتی به أو لا یؤتی » به عبارت دیگر عقل نظری بود و نبود را کشف می کند و عقل عملی بایدها ونبایدها را کشف می کند.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۲/ حسن عدل و قبح ظلم و نیز حسن تبیین نظریه ی محقق اصفهانی در باره ی حسن و قبح عقلی و قاعده ی ملازمه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۱/ تعریف ایشان از عقل نظری و عقل عملی این است: « ان تفاوت العقل النظری مع اعقل العملی بتفاوت المدرکات، مت حیث ان المدرک مما ینبغی أن یعلم، أو مما ینبغی أن یؤتی به أو لا یؤتی» به عبارت دیگر عقل نظری بود و نبود را کشف می کند و عقل عملی بایدها ونبایدها را کشف می کند.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۲/ حسن عدل و قبح ظلم و نیز حسن صدق و قبح کذب (به معنای استحقاق مدح و ذم)جزء «قضایای مشهوره» است ونه قضایای برهانیه چرا که:</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اولا\مفاد این قضایا از ضروریات ششگانه نیست و قضایای برهانیه منحصر در ضروریات ششگانه است که عبارتند از:</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lastRenderedPageBreak/>
        <w:t>الف \ اولیات\مثل اینکه جزء اعظم از کل است و من الواضح ان استحقاق المدح و الذم بالاضافة الی العدل و الظلم لیس من الاولیات بحیث یکفی تصور الطرفین فی الحکم بثبوت النسبة، کیف و قد وقع النزاع فیه من العقلاء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ب \ حسیات \ حال چه با حواس ظاهری ( =مشاهدات ) چه با حواس باطنی(= وجدانیات ), قضایای مورد بحث از هیچیک از دو قسم حسیلت نیستندلعدم کون الاستحقاق مشاهدا و لا بنفسه من الکیفیات النفسانیةالحاضرة بنفسها للنفس کحکمنا بان لنا علما و شوقا و شجاعة..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ج\ فطریات\ یعنی القضایا التی قیاساتها معها ککون الاربعة زوجالانها منقسمة بالمتساویین، و‌کل منقسم بالمتساویین زوج، ایشان می فرمایند: استحقاق مدح بر عدل و استحقاق ذم بر ظلم از فطریات هم نیست اذ لیس لازمها قیاس یدل علی ثبوت النسبة</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د \ تجربیات \ وهی الحاصلةبتکرر المشاهدة، کحکمنا بان سقمونیا مسهل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ه\ متواترات \ کحکمنا بوجود مکةلإخبار جماعةیمنع تواطؤهم علی الکذب عادة</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ز\حدسیات \ یعنی قضایایی که با نحوه ای از اعمال خبرویت و نظر همراه است و موجب یقین می شود کحکمنا بان نور القمر مستفاد من الشمس للتشکلات البدریة والهلالیة و أشباه ذلک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و اما عدم کونه من التجربیات و المتواترات و الحدسیات، ففی غایة الوضوح، فثبت ان أمثال هذه القضایا غیر داخلة فی القضایا البرهانیة بل من القضایاالمشهورة</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ثانیا\ مستفاد از سخن بزرگان معقول مثل جناب بوعلی و جناب خواجه و جناب قطب الدین با توضیح مرحوم اصفهانی این است که: این مطلب بر هر انسان عاقلی واضح‌است که عدل دارای مصلحتی عام و فراگیر است و نیز ظلم مفسده ای عام دارد ولذا کل انسان یحب الاحسان و یکره الاسائة و هذا کله من الواقعیات، و لا نزاع لأحد فیها.</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انما للنزاع فی حسن العدل و قبح الظلم بمعنی صحة المدح‌ علی الاول و صحة الذم علی الثانی، حال مدعای ایشان این است که ثبوت  این دو( =استحقاق مدح و استحقاق ذم ) برای عدل و ظلم به دلیل توافق آراء عقلا است.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۳/ ایشان این حکم به استحقاق مدح وذم را از قضایای مشهوره می شمرد اما نه از آن سنخ قضایای مشهوره ای که ریشه در احساسات منهای تعقل دارد، بلکه مراد قضایایی است که عقلا به مصلحت و مفسده عامه آنها اعتراف دارند. و لذا نام دیگر این قضایای مشهوره تادیبات صلاحیه و یا آراء محموده است، یعنی وقتی مدح عدل با توجه به آثار نیکوی عدل و تشویق مردم به عدالت بود و وقتی ذم از حالت انتقام و تشفی خارج شد و جنبه تادیبی به خود گرفت می تواند به عقلا و رئیس عقلا یعنی شارع مستند شود.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lastRenderedPageBreak/>
        <w:t>۴/ نتیجه اینکه حقیقت تحسین وتقبیح عقلی به حکم عقلا حفظا للنظام برمی گردد و حسن و قبح ذاتی آن مشهور می گویند قابل قبول نیست، و اگر گفته شود حسن عدل و قبح ظلم ذاتی است.  مراد ذاتی باب ایساغوجی ( کلیات خمس) نیست لوضوح ان استحقاق المدح‌ و الذم لیس جنسا ولا فصلا للعدل و الظلم. چنانکه مراد ذاتی باب برهان هم نیست لان الذاتی هناک ما یکفی وضع نفس الشیی فی صحة انتزاعه منه، کالامکان بالنسبة الی الانسان مثلا والا لکان الانسان فی حد ذاته اما واجبا او ممتنعا. استحقاق مدح و ذم مثل امکان نیست، چون مثلا اخذ مال غیر را می شود نسبت به کراهت مالک بسنجیم  که امری خارج از ذات تصرف است  و نامش غصب است، وهمین اخذ مال غیر را می توان به مفسده ی اختلال نظام سنجید که این هم امری خارج از ذات تصرف است، حال چگونه با توجه به عنصر غصب و اختلال نظام که هر دو خارج از ذات تصرف هستند بگوییم استحقاق ذم از ذات تصرف انتزاع می شود.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۵) بله می توان ذاتی بودن حسن را در عدل و قبح را در ظلم و عدم ذاتی بودن را در صدق و کذب  با دو عبارت توجیه کرد: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 ان المراد بذاتیة الحسن و القبح للعدل و الظلم کون الحکمین عرضا ذاتیا بمعنی ان العدل بعنوانه و الظلم بعنوانه یحکم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علیهما باستحقاق المدح و الذم من دون لحاظ اندراجهتحت عنوان آخر. و در مورد صدق و کذب می توان گفت لو خلی و نفسهما تحت عنوان عدل و ظلم قرار می گیرند و اگر عنوان مهلک را با صدق بسنجیم صدق قبیح است و صادق مستوجب مذمت، و اگر کذب را با عنوان منجی بسنجیم حسن است و کاذب مستحق مدح است.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 قبح کذب(به معنای استحقاق مدح و ذم )جزء  «قضایای مشهوره» است و نه قضایای برهانیه چرا که:</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اولا \ مفاد این قضایا از ضروریات ششگانه نیست و قضایای برهانیه منحصر در ضروریات ششگانه است که عبارتند از:</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 اولیات\مثل اینکه جزء اعظم از کل است و من الواضح ان استحقاق المدح و الذم بالاضافة الی العدل و الظلم لیس من الاولیات بحیث یکفی تصور الطرفین فی الحکم بثبوت النسبة، کیف و قد وقع النزاع فیه من العقلاء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ب \ حسیات \ حال چه با حواس ظاهری (=مشاهدات) چه با حواس باطنی(= وجدانیات)، قضایای مورد بحث از هیچیک از دو قسم حسیلت نیستند لعدم کون الاستحقاق مشاهدا و لا </w:t>
      </w:r>
      <w:r w:rsidRPr="0026753A">
        <w:rPr>
          <w:rFonts w:ascii="Tahoma" w:hAnsi="Tahoma"/>
          <w:sz w:val="24"/>
          <w:rtl/>
        </w:rPr>
        <w:lastRenderedPageBreak/>
        <w:t xml:space="preserve">بنفسه من الکیفیات النفسانیة الحاضرة بنفسها للنفس کحکمنا بان لنا علما و شوقا و شجاعة..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ج\ فطریات\ یعنی القضایا التی قیاساتها معها ککون الاربعة زوجالانها منقسمة بالمتساویین، و‌کل منقسم بالمتساویین زوج، ایشان می فرمایند: استحقاق مدح بر عدل و استحقاق ذم بر ظلم از فطریات هم نیست اذ لیس لازمها قیاس یدل علی ثبوت النسبة.</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د \ تجربیات \ وهی الحاصلة بتکرر المشاهدة، کحکمنا بان سقمونیا مسهل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ه\ متواترات \ کحکمنا بوجود مکة لإخبار جماعة یمنع تواطؤهم علی الکذب عادة</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ز\حدسیات \ یعنی قضایایی که با نحوه ای از اعمال خبرویت و نظر همراه است و موجب یقین می شود کحکمنا بان نور القمر مستفاد من الشمس للتشکلات البدریة و الهلالیة و أشباه ذلک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و اما عدم کونه من التجربیات و المتواترات و الحدسیات، ففی غایة الوضوح، فثبت ان أمثال هذه القضایا غیر داخلة فی القضایا البرهانیة بل من القضایاالمشهورة</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ثانیا\ مستفاد از سخن بزرگان معقول مثل جناب بوعلی و جناب خواجه و جناب قطب الدین با توضیح مرحوم اصفهانی این است که: این مطلب بر هر انسان عاقلی واضح‌ است که عدل دارای مصلحتی عام و فراگیر است و نیز ظلم مفسده ای عام دارد و لذا کل انسان یحب الاحسان و یکره الاسائة و هذا کله من الواقعیات، و لا نزاع لأحد فیها.</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انما للنزاع فی حسن العدل و قبح الظلم بمعنی صحة المدح ‌علی الاول و صحة الذم علی الثانی، حال مدعای ایشان این است که ثبوت  این دو( =استحقاق مدح و استحقاق ذم ) برای عدل و ظلم به دلیل توافق آراء عقلا است.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۳) ایشان این حکم به استحقاق مدح و ذم را از قضایای مشهوره می شمرد اما نه از آن سنخ قضایای مشهوره ای که ریشه در احساسات منهای تعقل دارد، بلکه مراد قضایایی است که عقلا به مصلحت و مفسده عامه آنها اعتراف دارند. و لذا نام دیگر این قضایای مشهوره تادیبات صلاحیه و یا آراء محموده است، یعنی  وقتی مدح عدل با توجه به آثار نیکوی عدل و تشویق مردم به عدالت بود و وقتی ذم از حالت انتقام و تشفی خارج شد و جنبه تادیبی به خود گرفت می تواند به عقلا و رئیس عقلا یعنی شارع مستند شود.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۴/ نتیجه اینکه حقیقت تحسین وتقبیح عقلی به حکم عقلا حفظا للنظام برمی گردد و حسن وقبح ذاتی آن گونه که مشهور می گویند قابل قبول نیست، و اگر گفته شود حسن عدل و قبح ظلم ذاتی است، مراد ذاتی باب ایساغوجی ( کلیات خمس) نیست لوضوح ان استحقاق المدح‌ و الذم لیس جنسا ولا فصلا للعدل و الظلم. چنانکه مراد ذاتی باب برهان هم نیست لان </w:t>
      </w:r>
      <w:r w:rsidRPr="0026753A">
        <w:rPr>
          <w:rFonts w:ascii="Tahoma" w:hAnsi="Tahoma"/>
          <w:sz w:val="24"/>
          <w:rtl/>
        </w:rPr>
        <w:lastRenderedPageBreak/>
        <w:t>الذاتی هناک ما یکفی وضع نفس الشیی فی صحة انتزاعه منه، کالامکان بالنسبة الی الانسان مثلا والا لکان الانسان فی حد ذاته اما واجبا او ممتنعا.استحقاق مدح و ذم مثل امکان نیست، چون مثلا اخذ مال غیر را می شود نسبت به کراهت مالک بسنجیم  که امری خارج از ذات تصرف است، و نامش غصب است، و همین اخذ مال غیر را می توان به مفسده ی اختلال نظام سنجید که این هم امری خارج از ذات تصرف است، حال چگونه با توجه به عنصر غصب و اختلال نظام که هر دو خارج از ذات تصرف هستند بگوییم استحقاق ذم از ذات تصرف انتزاع می شود.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۵) بله می توان ذاتی بودن حسن را در عدل و قبح را در ظلم و عدم ذاتی بودن را در صدق و کذب  با دو عبارت توجیه کرد: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 ان المراد بذاتیة الحسن و القبح للعدل و الظلم کون الحکمین عرضا ذاتیا بمعنی ان العدل بعنوانه و الظلم بعنوانه یحکم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علیهما باستحقاق المدح و الذم من دون لحاظ اندراجه تحت عنوان آخر. و در مورد صدق و کذب می توان گفت لو خلی و نفسهما تحت عنوان عدل و ظلم قرار می گیرند و اگر عنوان مهلک را با صدق بسنجیم صدق قبیح است و صادق مستوجب مذمت، و اگر کذب را با عنوان منجی بسنجیم حسن است و کاذب مستحق مدح است.</w:t>
      </w:r>
      <w:r w:rsidRPr="0026753A">
        <w:rPr>
          <w:rFonts w:ascii="Tahoma" w:hAnsi="Tahoma"/>
          <w:sz w:val="24"/>
          <w:rtl/>
        </w:rPr>
        <w:t xml:space="preserve"> ب\ بگوییم مراد از ذاتی بودن حسن و قبح در عدل و ظلم، و عدم ذاتی بودن درصدق و ‌کذب عدم احتیاج به واسطه ی درعروض و احتیاج به واسطه ی در عروض است، یعنی برای اتصاف عدل و ظلم به حسن وقبح واسطه ای و کمک از جایی نیاز نیست، و نمی شود امری عدل باشد در عین حال قبیح باشد و یا ظلم باشد درعین حال حسن باشد، به خلاف صدق و کذب که می توانیم صدق قبیح و کذب حسن را تصور کنیم.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آنچه گفتیم در باره حسن و قبح عقلی بود اما در باره قاعده ملازمه خلاصه ی فرمایش ایشان از این قرار است: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۱/ اگر عقل عملی بر مطلبی حکم کرد شارع نمی تواند بر خلاف آن حکم کند، زیرا با تحلیلی که از  تحسین وتقبیح عقلی شد و آن را از آراء محموده ی عقلائیه دانستیم که تطابقت علیه آراء العقلاء للمصلحة العامة او للمفسدة العامة، دیگر چگونه بپذیریم شارع که از عقلا بلکه رئیس العقلا است خلاف حرف عقلا چیزی بگوید فالعدل بما هو عدل حسن عندجمیع العقلاء و منهم الشارع ، و الظلم بما هو ظلم قبیح عندهم و منهم الشارع، بله اختلاف عقلا و شرع در مصادیق عدل و ظلم مانعی ندارد کما هو واضح.</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۲/ایشان حقیقت حکم مولوی را انشاء به داعی جعل داعی می داند ، و این  در جایی ممکن است که برای انسان پیش از حکم  داعی نباشد، و اگر با وجود داعی و انبعاث مکلف بخواهد </w:t>
      </w:r>
      <w:r w:rsidRPr="0026753A">
        <w:rPr>
          <w:rFonts w:ascii="Tahoma" w:hAnsi="Tahoma"/>
          <w:sz w:val="24"/>
          <w:rtl/>
        </w:rPr>
        <w:lastRenderedPageBreak/>
        <w:t xml:space="preserve">داعی مولوی دیگری به وجود بیاید این به معنای انبعاث واحد از دو‌باعث حقیقی است و محال است، حال فرقی نمی کند داعی موجود نخستین از طرف شارع بما هو شارع باشد یا از طرف شارع بما هو عاقل، پس وقتی شارع کاحد من العقلا گفت: العدل حسن و الظلم قبیح و داعی ایجاد شد، حکم مولوی دیگر یعنی ایجاد داعی دیگر، محال است، نتیجه دو مطلی فوق این است که: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اولا \ کل ماحکم به العقل العملی مثل حکمه بلزوم العدل و لزوم الاجتناب عن الظلم لا یمکن للعقل الحکم بخلافه.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ثانیا\  کل ما حکم به العقل العملی بلزومه لا یجوز للشارع الحکم المولوی بوفاقه نعم یمکن التاکید فقط.</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دو مطلب پیشین در مورد عدل و ظلم بود اما در باره ی صدق و کذب، از فرمایش این بزرگوار سه نکته استفاده می کنیم: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 اگر فقط دو عنوان صدق و کذب را ملاحظه کنیم به خودی خود و بدون هیچ‌ عنوان عارضی دقیقا مثل دو عنوان عدل و ظلم است یعنی شارع راحق مخالفت نیست  همانگونه که توان حکم مولوی بر طبقش هم نیست.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ب\اگر صدق را با عنوان اهلاک مومن بسنجیم و کذب را با عنوان منجی، فحالهما ایضا حال العدل و الظلم..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ج\ اگر فرض کنیم در جایی عنوان عارض شده بر صدق و کذب از عناوینی مثل اهلاک و نجات نباشد که خود عقل بپذیرند با آمدن این عنوان صدق قبیح و کذب حسن می شود، بلکه از عناوینی باشد که در محدوده مولی و شارع قابل فهم است، در ایجا چه باید گفت؟ آیا توان مخالفت برای شارع هست یا نه؟</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محقق اصفهانی می فرماید: اذا کان الصدق فی مورد معنونا بما فیه غرض مولوی للشارع یدعوه الی تحریمه،ا و الکذب معنونا بعنوان فیه غرض مولوی للشارع یدعوه الی تجویزه، فحیث انه بذلک العنوان غیر معلوم للمکلف بما هو عاقل امکن للشارع التکلیف المولوی علی خلاف الحکم العقلی الطبعی..</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۴\ آنچه گفته شد مربوط به قضایای مشهوره ای است که ریشه در عقل داشته باشد، نه قضایای مشهوره ای که احساسی باشد و منبعث ازانفعالات طبعیه مثل رقت و حمیت و..باشد، در این موارد هیچ‌دلیلی نداریم که شارع باید تبعیت از عقلا کند، و لذا تری ان الشارع ربما یحکم لحکمة و مصلحة خاصةبما لا یلائم الرقةالبشریةمثل حکم به جلد زانی به زنای غیر محصنه مع کمال التراضی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lastRenderedPageBreak/>
        <w:t>5</w:t>
      </w:r>
      <w:r w:rsidRPr="0026753A">
        <w:rPr>
          <w:rFonts w:ascii="Tahoma" w:hAnsi="Tahoma"/>
          <w:sz w:val="24"/>
          <w:rtl/>
        </w:rPr>
        <w:t>/ دو مطلب پیشین در مورد عدل و ظلم بود اما در باره ی صدق و کذب، از فرمایش این بزرگوار سه نکته استفاده می کنیم: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 اگر فقط دو عنوان صدق و کذب را ملاحظه کنیم به خودی خود و بدون هیچ‌ عنوان عارضی دقیقا مثل دو عنوان عدل و ظلم است یعنی شارع راحق مخالفت نیست  همانگونه که توان حکم مولوی بر طبقش هم نیست.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ب\اگر صدق را با عنوان اهلاک مومن بسنجیم و کذب را با عنوان منجی، فحالهما ایضا حال العدل و الظلم..</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ج\ اگر فرض کنیم در جایی عنوان عارض شده بر صدق و کذب از عناوینی مثل اهلاک و نجات نباشد که خود عقل بپذیرند با آمدن این عنوان صدق قبیح و کذب حسن می شود، بلکه از عناوینی باشد که در محدوده مولی و شارع قابل فهم است، در ایجا چه باید گفت؟ آیا توان مخالفت برای شارع هست یا نه؟</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محقق اصفهانی می فرماید: اذا کان الصدق فی مورد معنونا بما فیه غرض مولوی للشارع یدعوه الی تحریمه،ا و الکذب معنونا بعنوان فیه غرض مولوی للشارع یدعوه الی تجویزه، فحیث انه بذلک العنوان غیر معلوم للمکلف بما هو عاقل امکن للشارع التکلیف المولوی علی خلاف الحکم العقلی الطبعی..</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۴\ آنچه گفته شد مربوط به قضایای مشهوره ای است که ریشه در عقل داشته باشد، نه قضایای مشهوره ای که احساسی باشد و منبعث ازانفعالات طبعیه مثل رقت و حمیت و..باشد، در این موارد هیچ‌دلیلی نداریم که شارع باید تبعیت از عقلا کند، و لذا تری ان الشارع ربما یحکم لحکمة و مصلحة خاصةبما لا یلائم الرقةالبشریةمثل حکم به جلد زانی به زنای غیر محصنه مع کمال التراضی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مرحوم اصفهانی برای قاعده ملازمه با هردو عبارت جایگاهی ندید ولی مطلبی را قبول دارد و آن تبعیت احکام شرعیه از مصالح و مفاسد در متعلقات احکام است ، اما صاحب فصول از نگاهی دیگر قاعده را رد می کند و آن این که اساسا نه تنها دلیلی نداریم که احکام شرعیه تابع ملاکات در متعلقات خود هستند بلکه سه شاهدبر خلاف آن داریم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اوامر امتحانیه , چه این که نه تنها مصلحتی در متعلق آنها نیست بلکه چه بسا دارای مفسده باشد.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ب\اوامر تقیه ای ، چه این که مصلحتی در عمل بر طبق فتوای عامه نیست.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ج\ اوامر تعبدی ، حیث ان المصلحة مترتبة علی اتیان متعلقاتهابداعی الامر ، فلا مصلحة فی ذوات المتعلقات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lastRenderedPageBreak/>
        <w:t>بنا بر این کافی است در صحت و حسن  امر این که خود امر دارای مصلحت باشد و نه متعلق آن ،حال از آنجا که در عبارت اول می گوییم کل ما حکم به العقل حکم  به الشرع ، و این مبنی است بر وجود ملاکات در متعلقات و آنگاه درک عقل نظری که ملاکاتی در متعلقات  داریم تا نوبت به عبارت قاعده برسد ، ووقتی اصل وجود ملاکات در متعلقات دچار مشکل شد قاعده هم فرو می ریزد ، و در عبارت دوم گفته می شود کل ما حکم به الشرع حکم به العقل یعنی از راه معلول ( = حکم شرعی) پی به وجود علت (= ملاکات ) ببریم، وقتی ما اصل وجود ملاکات را نپذیرفتیم جا برای این عبارت هم باقی نمی ماند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مرحوم اصفهانی در دو مقام با فرمایش مرحوم صاحب فصول برخورد می کند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مقام اول \ بحث مبنایی، تا اثبات کند اوامر و نواهی شرعیه با پشتوانه ی مصالح ومفاسد در متعلقات هستند ، برای این منظور در دو مرحله بحث را مطرح می کنند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مرحله اول \ اراده تکوینیه به فعل خود مرید یعنی باری تعالی برمی گردد ، اما اراده ی تشریعیه متعلق به فعل غیر است اعنی المراد منه ، در اراده ی تشریعیه شوق اکیدی از طرف مرید است ، در اثر این شوق داعی پیدا می کند که غیر آن فعل را انجام دهد ، انجام دادن فعل توسط غیر به این است که در او شوق واراده محقق شود لذا مولی به داعی ایجاد داعی که مکلف فعل را انجام دهد افعل را می گوید، حال اگر آن شوق مولی حکمت ومصلحتی در متعلقش نباشد نتیجه اش ترجح بلا مرجح است یعنی با اینکه نماز خواندن با نماز نخواندن فرقی نمی کند نماز خواندن ترجح پیدا کرده است ، و ترجح بلا مرجح محال است حتی اگر ترجیح بلا مرجح بلا مانع باشد ، این از یک سو و از سوی دیگر شوق از افعالی نیست که بدون توجه به مشتاق مصلحتی در خودش نهفته باشد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مرحله دوم \ غیر از شوق ، اگر خود انشاءبه داعی جعل داعی را بررسی کنیم ، می گوییم اگر چه اشکالی ندارد در صرف الانشاء مصلحتی غیر از انشا نباشد کالانشاءبداعی الارشاد و التعجیز و التسخیر ، ولی در انشاءبه داعی جعل داعی غرض همواره تبعی استکه می خواهد او را وادار به انجام عمل کند و مع عدم الغرض فی فعل الغیر یستحیل التسبیب و ایجاد الداعی الی ایجاده و تحصیله منه ، فالبعث الحقیقی و التحریک الجدی الی فعل لا یعقل الا بلحاظ ما فی الفعل من الغرض الموجب لقیام المولی مقام ایجاده التسبیبی .و بهذا یظهر تبعیة الاحکام الشرعیة للاغراض المولویة المنحصرة فی المصالح و المفاسد القائمة بمتعلقاتها.</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مقام دوم \ جواب سه شاهد مرحوم صاحب فصول : </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 xml:space="preserve">شاهد اول \ اوامر امتحانیه ، از نظر مرحوم اصفهانی اوامر امتحانیه مثل بعث حقیقی نیست بحیث یکون الغرض منه حصول ماتعلق به البعث به بلکه غرض و مصلحت در امر امتحانی این است که روشن شود چه کسی ممتثل و منقاد و عبد است، و برای تحقق امر مولی قیام می </w:t>
      </w:r>
      <w:r w:rsidRPr="0026753A">
        <w:rPr>
          <w:rFonts w:ascii="Tahoma" w:hAnsi="Tahoma"/>
          <w:sz w:val="24"/>
          <w:rtl/>
        </w:rPr>
        <w:lastRenderedPageBreak/>
        <w:t>کند ولو بفعل بعض المقدمات القریبة، نه اینکه اساسا اوامر امتحانی مصلحتی غیر از خود امر ندارند..</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شاهد دوم \ اوامر تقیه ای، به نظر ایشان روایات تقیه ای  بر دو قسم است:</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الف \ آنجا که خود امام علیه السلام در بیان حکم تقیه کند، و کیفیت وضو را مثل وضوی مخالفین بیان کند، اینجا که اساسا امری حقیقی  به آن وضوی باطل تعلق نگرفته تا بحث از ملاکات شود بل اما امر حقیقة بغیره بنحو التوریة، او  لا امر حقیقة بشی اصلا بل یقصد مجرد التلفظ او مع معناه الانشایی المفهومی بداعی حفظ نفسه المقدسة عن شرالمخالف.</w:t>
      </w:r>
    </w:p>
    <w:p w:rsidR="0026753A" w:rsidRPr="0026753A" w:rsidRDefault="0026753A" w:rsidP="0026753A">
      <w:pPr>
        <w:spacing w:line="360" w:lineRule="auto"/>
        <w:jc w:val="lowKashida"/>
        <w:rPr>
          <w:rFonts w:ascii="Tahoma" w:hAnsi="Tahoma"/>
          <w:sz w:val="24"/>
          <w:rtl/>
        </w:rPr>
      </w:pPr>
      <w:r w:rsidRPr="0026753A">
        <w:rPr>
          <w:rFonts w:ascii="Tahoma" w:hAnsi="Tahoma"/>
          <w:sz w:val="24"/>
          <w:rtl/>
        </w:rPr>
        <w:t>ب\ آنجا که مثلا امام به علی بن یقطین بگوید تقیه کن و مثل آنها وضو بگیر، در ایجا مصلحت در متعلق این امر حقیقی هست منتها لا بذاته بل من حیث انه ینحفظ به نفسه او عرضه او ماله، فلم یلزم عدم تبعیةالامر الحقیقی للمصلحة فی متعلقه فی شیی من الفرضین.</w:t>
      </w:r>
    </w:p>
    <w:p w:rsidR="0026753A" w:rsidRDefault="0026753A" w:rsidP="0026753A">
      <w:pPr>
        <w:spacing w:line="360" w:lineRule="auto"/>
        <w:jc w:val="lowKashida"/>
        <w:rPr>
          <w:rFonts w:ascii="Tahoma" w:hAnsi="Tahoma" w:hint="cs"/>
          <w:sz w:val="24"/>
          <w:rtl/>
        </w:rPr>
      </w:pPr>
      <w:r w:rsidRPr="0026753A">
        <w:rPr>
          <w:rFonts w:ascii="Tahoma" w:hAnsi="Tahoma"/>
          <w:sz w:val="24"/>
          <w:rtl/>
        </w:rPr>
        <w:t>شاهدسوم \ اوامر تعبدیه، در مثل نماز به شرط قصد امر و قربت باید در نظر داشت که قصد قربت جزء نیست بلکه شرط است و معنای این حرف این است که در اصل نماز اقتضای مصلحت هست، و شرط اقتضا را فعلیت می بخشد، نه این که اصلا در نماز بدون قصد قربت اقتضای مصلحت هم نباشد، فتوقف فعلیة المصلحةعلی قصدالقربة لا یوجب عدم تعلق الامر بما فیه المصلحة و عدم انبعاثه عن مصلحة فی متعلقه</w:t>
      </w:r>
      <w:r>
        <w:rPr>
          <w:rFonts w:ascii="Tahoma" w:hAnsi="Tahoma" w:hint="cs"/>
          <w:sz w:val="24"/>
          <w:rtl/>
        </w:rPr>
        <w:t>.</w:t>
      </w:r>
    </w:p>
    <w:p w:rsidR="0026753A" w:rsidRPr="0026753A" w:rsidRDefault="0026753A" w:rsidP="0026753A">
      <w:pPr>
        <w:spacing w:line="360" w:lineRule="auto"/>
        <w:jc w:val="lowKashida"/>
        <w:rPr>
          <w:rFonts w:ascii="Tahoma" w:hAnsi="Tahoma"/>
          <w:sz w:val="24"/>
          <w:rtl/>
        </w:rPr>
      </w:pPr>
      <w:r>
        <w:rPr>
          <w:rFonts w:ascii="Tahoma" w:hAnsi="Tahoma" w:hint="cs"/>
          <w:sz w:val="24"/>
          <w:rtl/>
        </w:rPr>
        <w:t>و صلی الله علی محمد و آله الطاهرین.</w:t>
      </w:r>
      <w:bookmarkStart w:id="0" w:name="_GoBack"/>
      <w:bookmarkEnd w:id="0"/>
    </w:p>
    <w:p w:rsidR="00BA3EB6" w:rsidRPr="0026753A" w:rsidRDefault="00BA3EB6" w:rsidP="0026753A">
      <w:pPr>
        <w:spacing w:line="360" w:lineRule="auto"/>
        <w:jc w:val="lowKashida"/>
        <w:rPr>
          <w:rFonts w:ascii="Tahoma" w:hAnsi="Tahoma"/>
          <w:sz w:val="24"/>
          <w:rtl/>
        </w:rPr>
      </w:pPr>
      <w:r w:rsidRPr="0026753A">
        <w:rPr>
          <w:rFonts w:ascii="Tahoma" w:hAnsi="Tahoma"/>
          <w:sz w:val="24"/>
          <w:rtl/>
        </w:rPr>
        <w:t>تم کلام الاستاذ.</w:t>
      </w:r>
    </w:p>
    <w:sectPr w:rsidR="00BA3EB6" w:rsidRPr="0026753A"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27F" w:rsidRDefault="0071427F" w:rsidP="00842A39">
      <w:pPr>
        <w:spacing w:after="0" w:line="240" w:lineRule="auto"/>
      </w:pPr>
      <w:r>
        <w:separator/>
      </w:r>
    </w:p>
  </w:endnote>
  <w:endnote w:type="continuationSeparator" w:id="0">
    <w:p w:rsidR="0071427F" w:rsidRDefault="0071427F"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26753A">
      <w:rPr>
        <w:rFonts w:ascii="Tahoma" w:hAnsi="Tahoma"/>
        <w:caps/>
        <w:noProof/>
        <w:sz w:val="24"/>
        <w:rtl/>
      </w:rPr>
      <w:t>9</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27F" w:rsidRDefault="0071427F" w:rsidP="00842A39">
      <w:pPr>
        <w:spacing w:after="0" w:line="240" w:lineRule="auto"/>
      </w:pPr>
      <w:r>
        <w:separator/>
      </w:r>
    </w:p>
  </w:footnote>
  <w:footnote w:type="continuationSeparator" w:id="0">
    <w:p w:rsidR="0071427F" w:rsidRDefault="0071427F"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7"/>
  </w:num>
  <w:num w:numId="4">
    <w:abstractNumId w:val="4"/>
  </w:num>
  <w:num w:numId="5">
    <w:abstractNumId w:val="6"/>
  </w:num>
  <w:num w:numId="6">
    <w:abstractNumId w:val="2"/>
  </w:num>
  <w:num w:numId="7">
    <w:abstractNumId w:val="10"/>
  </w:num>
  <w:num w:numId="8">
    <w:abstractNumId w:val="13"/>
  </w:num>
  <w:num w:numId="9">
    <w:abstractNumId w:val="0"/>
  </w:num>
  <w:num w:numId="10">
    <w:abstractNumId w:val="5"/>
  </w:num>
  <w:num w:numId="11">
    <w:abstractNumId w:val="9"/>
  </w:num>
  <w:num w:numId="12">
    <w:abstractNumId w:val="11"/>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33439"/>
    <w:rsid w:val="000477E9"/>
    <w:rsid w:val="00085160"/>
    <w:rsid w:val="000A58ED"/>
    <w:rsid w:val="000B3902"/>
    <w:rsid w:val="000B418D"/>
    <w:rsid w:val="000B48DA"/>
    <w:rsid w:val="000C3AE8"/>
    <w:rsid w:val="000C7D9D"/>
    <w:rsid w:val="000E45C7"/>
    <w:rsid w:val="000F0A4F"/>
    <w:rsid w:val="000F72B4"/>
    <w:rsid w:val="00113436"/>
    <w:rsid w:val="001323F2"/>
    <w:rsid w:val="00143822"/>
    <w:rsid w:val="00154B88"/>
    <w:rsid w:val="0016772D"/>
    <w:rsid w:val="001A7DED"/>
    <w:rsid w:val="001E1DD2"/>
    <w:rsid w:val="00233EE5"/>
    <w:rsid w:val="00244282"/>
    <w:rsid w:val="00255BA1"/>
    <w:rsid w:val="0026753A"/>
    <w:rsid w:val="002676E3"/>
    <w:rsid w:val="00271AEF"/>
    <w:rsid w:val="0027256D"/>
    <w:rsid w:val="00281825"/>
    <w:rsid w:val="002A05A9"/>
    <w:rsid w:val="002C2D9C"/>
    <w:rsid w:val="002C2E80"/>
    <w:rsid w:val="00336EA1"/>
    <w:rsid w:val="003C53E9"/>
    <w:rsid w:val="003D7059"/>
    <w:rsid w:val="00410FA8"/>
    <w:rsid w:val="00423B32"/>
    <w:rsid w:val="00432700"/>
    <w:rsid w:val="00450696"/>
    <w:rsid w:val="004558EC"/>
    <w:rsid w:val="00470745"/>
    <w:rsid w:val="004A4DB6"/>
    <w:rsid w:val="004B2851"/>
    <w:rsid w:val="004F1639"/>
    <w:rsid w:val="005365E1"/>
    <w:rsid w:val="00550FC8"/>
    <w:rsid w:val="005531E4"/>
    <w:rsid w:val="00555BA1"/>
    <w:rsid w:val="005613CB"/>
    <w:rsid w:val="00562F93"/>
    <w:rsid w:val="00563DCF"/>
    <w:rsid w:val="005C2211"/>
    <w:rsid w:val="005C5C81"/>
    <w:rsid w:val="005D17AB"/>
    <w:rsid w:val="005D2772"/>
    <w:rsid w:val="005D6CDE"/>
    <w:rsid w:val="005E266A"/>
    <w:rsid w:val="00610F4C"/>
    <w:rsid w:val="006354C6"/>
    <w:rsid w:val="006568AB"/>
    <w:rsid w:val="006657BA"/>
    <w:rsid w:val="00665DE1"/>
    <w:rsid w:val="00682A67"/>
    <w:rsid w:val="006E4151"/>
    <w:rsid w:val="006F0B90"/>
    <w:rsid w:val="006F502F"/>
    <w:rsid w:val="00706ECD"/>
    <w:rsid w:val="0071427F"/>
    <w:rsid w:val="00735FA1"/>
    <w:rsid w:val="00773C5C"/>
    <w:rsid w:val="00775B47"/>
    <w:rsid w:val="007A677A"/>
    <w:rsid w:val="007C159F"/>
    <w:rsid w:val="007C53AC"/>
    <w:rsid w:val="008053ED"/>
    <w:rsid w:val="00814F95"/>
    <w:rsid w:val="00817A5C"/>
    <w:rsid w:val="008203E5"/>
    <w:rsid w:val="00842A39"/>
    <w:rsid w:val="0084327E"/>
    <w:rsid w:val="00853A7F"/>
    <w:rsid w:val="00855A70"/>
    <w:rsid w:val="008C3436"/>
    <w:rsid w:val="00904CE3"/>
    <w:rsid w:val="00924323"/>
    <w:rsid w:val="00931957"/>
    <w:rsid w:val="009414A4"/>
    <w:rsid w:val="00947750"/>
    <w:rsid w:val="00966611"/>
    <w:rsid w:val="00966A71"/>
    <w:rsid w:val="00997BA1"/>
    <w:rsid w:val="009A0EF9"/>
    <w:rsid w:val="00A11AE2"/>
    <w:rsid w:val="00A32F93"/>
    <w:rsid w:val="00A73690"/>
    <w:rsid w:val="00A96762"/>
    <w:rsid w:val="00AB0E89"/>
    <w:rsid w:val="00AB3423"/>
    <w:rsid w:val="00AB691B"/>
    <w:rsid w:val="00AD169A"/>
    <w:rsid w:val="00AD1DB8"/>
    <w:rsid w:val="00AD2553"/>
    <w:rsid w:val="00AD7A59"/>
    <w:rsid w:val="00B331A9"/>
    <w:rsid w:val="00B33F9D"/>
    <w:rsid w:val="00B47A46"/>
    <w:rsid w:val="00B558C0"/>
    <w:rsid w:val="00B8084E"/>
    <w:rsid w:val="00B852F1"/>
    <w:rsid w:val="00B90B8D"/>
    <w:rsid w:val="00BA3EB6"/>
    <w:rsid w:val="00BC03A6"/>
    <w:rsid w:val="00C56C53"/>
    <w:rsid w:val="00C663A5"/>
    <w:rsid w:val="00C814F4"/>
    <w:rsid w:val="00CA7EF7"/>
    <w:rsid w:val="00CE3E1A"/>
    <w:rsid w:val="00D5255F"/>
    <w:rsid w:val="00D938A9"/>
    <w:rsid w:val="00DB1421"/>
    <w:rsid w:val="00DE5B9A"/>
    <w:rsid w:val="00DF5C93"/>
    <w:rsid w:val="00DF7399"/>
    <w:rsid w:val="00E167EC"/>
    <w:rsid w:val="00E31060"/>
    <w:rsid w:val="00E347CC"/>
    <w:rsid w:val="00E352EB"/>
    <w:rsid w:val="00E41827"/>
    <w:rsid w:val="00EA430F"/>
    <w:rsid w:val="00EB28A1"/>
    <w:rsid w:val="00EB5EE6"/>
    <w:rsid w:val="00EB65B6"/>
    <w:rsid w:val="00EB678A"/>
    <w:rsid w:val="00EC4300"/>
    <w:rsid w:val="00EE073E"/>
    <w:rsid w:val="00EE26A8"/>
    <w:rsid w:val="00F040B3"/>
    <w:rsid w:val="00F3303E"/>
    <w:rsid w:val="00F47625"/>
    <w:rsid w:val="00F73D96"/>
    <w:rsid w:val="00F94EB2"/>
    <w:rsid w:val="00F9560C"/>
    <w:rsid w:val="00FB2C89"/>
    <w:rsid w:val="00FC2F4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D2451"/>
    <w:rsid w:val="004525B8"/>
    <w:rsid w:val="005A3285"/>
    <w:rsid w:val="006A6FF9"/>
    <w:rsid w:val="00700960"/>
    <w:rsid w:val="0072715E"/>
    <w:rsid w:val="007D49BE"/>
    <w:rsid w:val="008B0673"/>
    <w:rsid w:val="00D53DF4"/>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C53F7-8FD7-4052-A471-7290CB797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9</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المیزان_ استاد تاج آبادی</vt:lpstr>
    </vt:vector>
  </TitlesOfParts>
  <Company/>
  <LinksUpToDate>false</LinksUpToDate>
  <CharactersWithSpaces>16733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155</cp:revision>
  <cp:lastPrinted>2017-01-08T11:02:00Z</cp:lastPrinted>
  <dcterms:created xsi:type="dcterms:W3CDTF">2016-10-30T11:44:00Z</dcterms:created>
  <dcterms:modified xsi:type="dcterms:W3CDTF">2017-01-24T03:51:00Z</dcterms:modified>
</cp:coreProperties>
</file>